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BCEC4" w14:textId="77777777" w:rsidR="00773FDB" w:rsidRDefault="00773FDB" w:rsidP="00E21101">
      <w:pPr>
        <w:tabs>
          <w:tab w:val="center" w:pos="1985"/>
          <w:tab w:val="right" w:pos="8838"/>
        </w:tabs>
        <w:autoSpaceDE w:val="0"/>
        <w:autoSpaceDN w:val="0"/>
        <w:spacing w:after="0" w:line="240" w:lineRule="auto"/>
        <w:jc w:val="both"/>
      </w:pPr>
      <w:bookmarkStart w:id="0" w:name="_Hlk165978146"/>
      <w:r>
        <w:tab/>
      </w:r>
    </w:p>
    <w:p w14:paraId="484B50A6" w14:textId="0A6737A2" w:rsidR="003F137F" w:rsidRPr="00E21101" w:rsidRDefault="00773FDB" w:rsidP="00E21101">
      <w:pPr>
        <w:shd w:val="clear" w:color="auto" w:fill="FFFFFF"/>
        <w:spacing w:after="0" w:line="240" w:lineRule="auto"/>
        <w:jc w:val="both"/>
        <w:rPr>
          <w:rFonts w:ascii="Arial" w:eastAsia="Times New Roman" w:hAnsi="Arial" w:cs="Arial"/>
          <w:b/>
          <w:bCs/>
          <w:sz w:val="28"/>
          <w:szCs w:val="28"/>
          <w:u w:val="single"/>
          <w:lang w:eastAsia="es-AR"/>
        </w:rPr>
      </w:pPr>
      <w:r w:rsidRPr="00E21101">
        <w:rPr>
          <w:rFonts w:ascii="Arial" w:hAnsi="Arial" w:cs="Arial"/>
          <w:b/>
          <w:bCs/>
          <w:sz w:val="28"/>
          <w:szCs w:val="28"/>
          <w:shd w:val="clear" w:color="auto" w:fill="FFFFFF"/>
        </w:rPr>
        <w:t>Contratación Directa por Obra Menor Nº 02/24, llamada para la ejecución de la obra:  </w:t>
      </w:r>
      <w:r w:rsidRPr="00E21101">
        <w:rPr>
          <w:rFonts w:ascii="Arial" w:hAnsi="Arial" w:cs="Arial"/>
          <w:b/>
          <w:bCs/>
          <w:sz w:val="28"/>
          <w:szCs w:val="28"/>
          <w:shd w:val="clear" w:color="auto" w:fill="FFFFFF"/>
          <w:lang w:val="es-MX"/>
        </w:rPr>
        <w:t>“REMODELACION OFICINA Y SOPORTE TIC Y DIRECCIÓN GENERAL DE PRESUPUESTO E INFORMACIÓN UNIVERSITARIA (ESTADÍSTICAS), RECTORADO”, UBICACIÓN: 25 DE MAYO Nº 868 - C.P. 3400 – CORRIENTES</w:t>
      </w:r>
      <w:r w:rsidRPr="00E21101">
        <w:rPr>
          <w:rFonts w:ascii="Arial" w:hAnsi="Arial" w:cs="Arial"/>
          <w:b/>
          <w:bCs/>
          <w:sz w:val="28"/>
          <w:szCs w:val="28"/>
          <w:shd w:val="clear" w:color="auto" w:fill="FFFFFF"/>
        </w:rPr>
        <w:t>; tramitada por expediente Nº 01-2022-05936.</w:t>
      </w:r>
    </w:p>
    <w:p w14:paraId="1E7240AB" w14:textId="77777777" w:rsidR="003F137F" w:rsidRDefault="003F137F" w:rsidP="00E21101">
      <w:pPr>
        <w:shd w:val="clear" w:color="auto" w:fill="FFFFFF"/>
        <w:spacing w:after="0" w:line="240" w:lineRule="auto"/>
        <w:rPr>
          <w:rFonts w:ascii="Arial" w:eastAsia="Times New Roman" w:hAnsi="Arial" w:cs="Arial"/>
          <w:sz w:val="24"/>
          <w:szCs w:val="24"/>
          <w:u w:val="single"/>
          <w:lang w:eastAsia="es-AR"/>
        </w:rPr>
      </w:pPr>
    </w:p>
    <w:p w14:paraId="5284E3AE" w14:textId="0C61C93F" w:rsidR="001F32C5" w:rsidRPr="00E21101" w:rsidRDefault="001F32C5" w:rsidP="00E21101">
      <w:pPr>
        <w:shd w:val="clear" w:color="auto" w:fill="FFFFFF"/>
        <w:spacing w:after="0" w:line="240" w:lineRule="auto"/>
        <w:jc w:val="center"/>
        <w:rPr>
          <w:rFonts w:ascii="Arial" w:eastAsia="Times New Roman" w:hAnsi="Arial" w:cs="Arial"/>
          <w:b/>
          <w:bCs/>
          <w:sz w:val="28"/>
          <w:szCs w:val="28"/>
          <w:u w:val="single"/>
          <w:lang w:eastAsia="es-AR"/>
        </w:rPr>
      </w:pPr>
      <w:r w:rsidRPr="00E21101">
        <w:rPr>
          <w:rFonts w:ascii="Arial" w:eastAsia="Times New Roman" w:hAnsi="Arial" w:cs="Arial"/>
          <w:b/>
          <w:bCs/>
          <w:sz w:val="28"/>
          <w:szCs w:val="28"/>
          <w:u w:val="single"/>
          <w:lang w:eastAsia="es-AR"/>
        </w:rPr>
        <w:t>CIRCULAR ACLARATORIA CON CONSULTA Nº 01</w:t>
      </w:r>
    </w:p>
    <w:p w14:paraId="03E53528" w14:textId="77777777" w:rsidR="003F137F" w:rsidRPr="00E21101" w:rsidRDefault="003F137F" w:rsidP="00E21101">
      <w:pPr>
        <w:shd w:val="clear" w:color="auto" w:fill="FFFFFF"/>
        <w:spacing w:after="0" w:line="240" w:lineRule="auto"/>
        <w:rPr>
          <w:rFonts w:ascii="Arial" w:eastAsia="Times New Roman" w:hAnsi="Arial" w:cs="Arial"/>
          <w:color w:val="500050"/>
          <w:sz w:val="28"/>
          <w:szCs w:val="28"/>
          <w:lang w:eastAsia="es-AR"/>
        </w:rPr>
      </w:pPr>
    </w:p>
    <w:p w14:paraId="4F1F7941" w14:textId="12BB4371" w:rsidR="001F32C5" w:rsidRPr="00E21101" w:rsidRDefault="001F32C5" w:rsidP="00E21101">
      <w:pPr>
        <w:shd w:val="clear" w:color="auto" w:fill="FFFFFF"/>
        <w:spacing w:after="0" w:line="240" w:lineRule="auto"/>
        <w:jc w:val="both"/>
        <w:rPr>
          <w:rFonts w:ascii="Arial" w:eastAsia="Times New Roman" w:hAnsi="Arial" w:cs="Arial"/>
          <w:sz w:val="24"/>
          <w:szCs w:val="24"/>
          <w:lang w:eastAsia="es-AR"/>
        </w:rPr>
      </w:pPr>
      <w:r w:rsidRPr="00E21101">
        <w:rPr>
          <w:rFonts w:ascii="Arial" w:eastAsia="Times New Roman" w:hAnsi="Arial" w:cs="Arial"/>
          <w:sz w:val="24"/>
          <w:szCs w:val="24"/>
          <w:lang w:eastAsia="es-AR"/>
        </w:rPr>
        <w:t xml:space="preserve">De acuerdo a lo previsto en el Art </w:t>
      </w:r>
      <w:r w:rsidR="00E21101" w:rsidRPr="00E21101">
        <w:rPr>
          <w:rFonts w:ascii="Arial" w:eastAsia="Times New Roman" w:hAnsi="Arial" w:cs="Arial"/>
          <w:sz w:val="24"/>
          <w:szCs w:val="24"/>
          <w:lang w:eastAsia="es-AR"/>
        </w:rPr>
        <w:t xml:space="preserve"> 7º </w:t>
      </w:r>
      <w:r w:rsidRPr="00E21101">
        <w:rPr>
          <w:rFonts w:ascii="Arial" w:eastAsia="Times New Roman" w:hAnsi="Arial" w:cs="Arial"/>
          <w:sz w:val="24"/>
          <w:szCs w:val="24"/>
          <w:lang w:eastAsia="es-AR"/>
        </w:rPr>
        <w:t>C.E.</w:t>
      </w:r>
      <w:r w:rsidR="00E21101" w:rsidRPr="00E21101">
        <w:rPr>
          <w:rFonts w:ascii="Arial" w:eastAsia="Times New Roman" w:hAnsi="Arial" w:cs="Arial"/>
          <w:sz w:val="24"/>
          <w:szCs w:val="24"/>
          <w:lang w:eastAsia="es-AR"/>
        </w:rPr>
        <w:t xml:space="preserve"> </w:t>
      </w:r>
      <w:r w:rsidRPr="00E21101">
        <w:rPr>
          <w:rFonts w:ascii="Arial" w:eastAsia="Times New Roman" w:hAnsi="Arial" w:cs="Arial"/>
          <w:sz w:val="24"/>
          <w:szCs w:val="24"/>
          <w:lang w:eastAsia="es-AR"/>
        </w:rPr>
        <w:t xml:space="preserve">Pliego de Bases y Condiciones, se emite la siguiente </w:t>
      </w:r>
      <w:r w:rsidR="003F137F" w:rsidRPr="00E21101">
        <w:rPr>
          <w:rFonts w:ascii="Arial" w:eastAsia="Times New Roman" w:hAnsi="Arial" w:cs="Arial"/>
          <w:sz w:val="24"/>
          <w:szCs w:val="24"/>
          <w:lang w:eastAsia="es-AR"/>
        </w:rPr>
        <w:t xml:space="preserve">Aclaratoria </w:t>
      </w:r>
      <w:r w:rsidR="00E21101" w:rsidRPr="00E21101">
        <w:rPr>
          <w:rFonts w:ascii="Arial" w:eastAsia="Times New Roman" w:hAnsi="Arial" w:cs="Arial"/>
          <w:sz w:val="24"/>
          <w:szCs w:val="24"/>
          <w:lang w:eastAsia="es-AR"/>
        </w:rPr>
        <w:t xml:space="preserve">en relación </w:t>
      </w:r>
      <w:r w:rsidR="00E21101" w:rsidRPr="00E21101">
        <w:rPr>
          <w:rFonts w:ascii="Arial" w:eastAsia="Times New Roman" w:hAnsi="Arial" w:cs="Arial"/>
          <w:b/>
          <w:bCs/>
          <w:sz w:val="24"/>
          <w:szCs w:val="24"/>
          <w:u w:val="single"/>
          <w:lang w:eastAsia="es-AR"/>
        </w:rPr>
        <w:t xml:space="preserve">con la </w:t>
      </w:r>
      <w:r w:rsidR="003F137F" w:rsidRPr="00E21101">
        <w:rPr>
          <w:rFonts w:ascii="Arial" w:eastAsia="Times New Roman" w:hAnsi="Arial" w:cs="Arial"/>
          <w:b/>
          <w:bCs/>
          <w:sz w:val="24"/>
          <w:szCs w:val="24"/>
          <w:u w:val="single"/>
          <w:lang w:eastAsia="es-AR"/>
        </w:rPr>
        <w:t>Consulta realizada por mail</w:t>
      </w:r>
      <w:r w:rsidR="00E21101" w:rsidRPr="00E21101">
        <w:rPr>
          <w:rFonts w:ascii="Arial" w:eastAsia="Times New Roman" w:hAnsi="Arial" w:cs="Arial"/>
          <w:b/>
          <w:bCs/>
          <w:sz w:val="24"/>
          <w:szCs w:val="24"/>
          <w:u w:val="single"/>
          <w:lang w:eastAsia="es-AR"/>
        </w:rPr>
        <w:t xml:space="preserve"> de fecha 30 de abril de 2024,</w:t>
      </w:r>
      <w:r w:rsidR="003F137F" w:rsidRPr="00E21101">
        <w:rPr>
          <w:rFonts w:ascii="Arial" w:eastAsia="Times New Roman" w:hAnsi="Arial" w:cs="Arial"/>
          <w:sz w:val="24"/>
          <w:szCs w:val="24"/>
          <w:lang w:eastAsia="es-AR"/>
        </w:rPr>
        <w:t xml:space="preserve"> en relación a la Contratación de referencia, a saber:</w:t>
      </w:r>
    </w:p>
    <w:p w14:paraId="2008013D" w14:textId="1B7D88C7" w:rsidR="001F32C5" w:rsidRPr="00E21101" w:rsidRDefault="001F32C5" w:rsidP="00E21101">
      <w:pPr>
        <w:shd w:val="clear" w:color="auto" w:fill="FFFFFF"/>
        <w:spacing w:after="0" w:line="240" w:lineRule="auto"/>
        <w:jc w:val="both"/>
        <w:rPr>
          <w:rFonts w:ascii="Arial" w:eastAsia="Times New Roman" w:hAnsi="Arial" w:cs="Arial"/>
          <w:color w:val="500050"/>
          <w:sz w:val="24"/>
          <w:szCs w:val="24"/>
          <w:lang w:eastAsia="es-AR"/>
        </w:rPr>
      </w:pPr>
    </w:p>
    <w:p w14:paraId="145C4DA8" w14:textId="73ECF836" w:rsidR="001F32C5" w:rsidRPr="00E21101" w:rsidRDefault="003F137F" w:rsidP="00E21101">
      <w:pPr>
        <w:pStyle w:val="Prrafodelista"/>
        <w:numPr>
          <w:ilvl w:val="0"/>
          <w:numId w:val="2"/>
        </w:numPr>
        <w:spacing w:after="0" w:line="240" w:lineRule="auto"/>
        <w:ind w:left="0" w:firstLine="0"/>
        <w:rPr>
          <w:rFonts w:ascii="Times New Roman" w:hAnsi="Times New Roman" w:cs="Times New Roman"/>
          <w:sz w:val="24"/>
          <w:szCs w:val="24"/>
          <w:u w:val="single"/>
        </w:rPr>
      </w:pPr>
      <w:r w:rsidRPr="00E21101">
        <w:rPr>
          <w:rFonts w:ascii="Arial" w:hAnsi="Arial" w:cs="Arial"/>
          <w:b/>
          <w:bCs/>
          <w:color w:val="222222"/>
          <w:sz w:val="24"/>
          <w:szCs w:val="24"/>
          <w:u w:val="single"/>
          <w:shd w:val="clear" w:color="auto" w:fill="FFFFFF"/>
        </w:rPr>
        <w:t>Financieras/económicas</w:t>
      </w:r>
    </w:p>
    <w:p w14:paraId="1BF4A03F" w14:textId="77777777" w:rsidR="00764BBC" w:rsidRPr="00E21101" w:rsidRDefault="00764BBC" w:rsidP="00E21101">
      <w:pPr>
        <w:spacing w:after="0" w:line="240" w:lineRule="auto"/>
        <w:ind w:left="567" w:hanging="283"/>
        <w:jc w:val="both"/>
        <w:rPr>
          <w:rFonts w:ascii="Arial" w:hAnsi="Arial" w:cs="Arial"/>
          <w:color w:val="222222"/>
          <w:sz w:val="24"/>
          <w:szCs w:val="24"/>
          <w:u w:val="single"/>
          <w:shd w:val="clear" w:color="auto" w:fill="FFFFFF"/>
        </w:rPr>
      </w:pPr>
    </w:p>
    <w:p w14:paraId="3870ACBE" w14:textId="28889CD0" w:rsidR="00874294" w:rsidRPr="00E21101" w:rsidRDefault="00874294" w:rsidP="00E21101">
      <w:pPr>
        <w:spacing w:after="0" w:line="240" w:lineRule="auto"/>
        <w:jc w:val="both"/>
        <w:rPr>
          <w:rFonts w:ascii="Arial" w:hAnsi="Arial" w:cs="Arial"/>
          <w:color w:val="222222"/>
          <w:sz w:val="24"/>
          <w:szCs w:val="24"/>
          <w:u w:val="single"/>
          <w:shd w:val="clear" w:color="auto" w:fill="FFFFFF"/>
        </w:rPr>
      </w:pPr>
      <w:r w:rsidRPr="00E21101">
        <w:rPr>
          <w:rFonts w:ascii="Arial" w:hAnsi="Arial" w:cs="Arial"/>
          <w:color w:val="222222"/>
          <w:sz w:val="24"/>
          <w:szCs w:val="24"/>
          <w:u w:val="single"/>
          <w:shd w:val="clear" w:color="auto" w:fill="FFFFFF"/>
        </w:rPr>
        <w:t>Consulta 1:</w:t>
      </w:r>
    </w:p>
    <w:p w14:paraId="6B34A1F3" w14:textId="34EC86BE" w:rsidR="00E21101" w:rsidRPr="00E21101" w:rsidRDefault="003F137F" w:rsidP="00E21101">
      <w:pPr>
        <w:spacing w:after="0" w:line="240" w:lineRule="auto"/>
        <w:jc w:val="both"/>
        <w:rPr>
          <w:rFonts w:ascii="Arial" w:hAnsi="Arial" w:cs="Arial"/>
          <w:b/>
          <w:bCs/>
          <w:color w:val="222222"/>
          <w:sz w:val="24"/>
          <w:szCs w:val="24"/>
          <w:shd w:val="clear" w:color="auto" w:fill="FFFFFF"/>
        </w:rPr>
      </w:pPr>
      <w:r w:rsidRPr="00E21101">
        <w:rPr>
          <w:rFonts w:ascii="Arial" w:hAnsi="Arial" w:cs="Arial"/>
          <w:color w:val="222222"/>
          <w:sz w:val="24"/>
          <w:szCs w:val="24"/>
          <w:shd w:val="clear" w:color="auto" w:fill="FFFFFF"/>
        </w:rPr>
        <w:t>Atendiendo la situación inflacionaria actual del país, y escalada constante de los insumos y materiales,</w:t>
      </w:r>
      <w:r w:rsidRPr="00E21101">
        <w:rPr>
          <w:rFonts w:ascii="Arial" w:hAnsi="Arial" w:cs="Arial"/>
          <w:color w:val="222222"/>
          <w:sz w:val="24"/>
          <w:szCs w:val="24"/>
        </w:rPr>
        <w:t xml:space="preserve"> </w:t>
      </w:r>
      <w:r w:rsidRPr="00E21101">
        <w:rPr>
          <w:rFonts w:ascii="Arial" w:hAnsi="Arial" w:cs="Arial"/>
          <w:color w:val="222222"/>
          <w:sz w:val="24"/>
          <w:szCs w:val="24"/>
          <w:shd w:val="clear" w:color="auto" w:fill="FFFFFF"/>
        </w:rPr>
        <w:t>¿existe la posibilidad de pago de anticipo? No menos de 12 Millones</w:t>
      </w:r>
      <w:r w:rsidRPr="00E21101">
        <w:rPr>
          <w:rFonts w:ascii="Arial" w:hAnsi="Arial" w:cs="Arial"/>
          <w:b/>
          <w:bCs/>
          <w:color w:val="222222"/>
          <w:sz w:val="24"/>
          <w:szCs w:val="24"/>
          <w:shd w:val="clear" w:color="auto" w:fill="FFFFFF"/>
        </w:rPr>
        <w:t>.</w:t>
      </w:r>
    </w:p>
    <w:p w14:paraId="452FFAE3" w14:textId="77777777" w:rsidR="00E21101" w:rsidRPr="00E21101" w:rsidRDefault="00E21101" w:rsidP="00E21101">
      <w:pPr>
        <w:spacing w:after="0" w:line="240" w:lineRule="auto"/>
        <w:jc w:val="both"/>
        <w:rPr>
          <w:rFonts w:ascii="Arial" w:hAnsi="Arial" w:cs="Arial"/>
          <w:b/>
          <w:bCs/>
          <w:sz w:val="24"/>
          <w:szCs w:val="24"/>
        </w:rPr>
      </w:pPr>
      <w:r w:rsidRPr="00E21101">
        <w:rPr>
          <w:rFonts w:ascii="Arial" w:hAnsi="Arial" w:cs="Arial"/>
          <w:b/>
          <w:bCs/>
          <w:sz w:val="24"/>
          <w:szCs w:val="24"/>
        </w:rPr>
        <w:t xml:space="preserve">SE RESPONDE: </w:t>
      </w:r>
    </w:p>
    <w:p w14:paraId="5CB8BDB7" w14:textId="3973E3F6" w:rsidR="00E21101" w:rsidRPr="00E21101" w:rsidRDefault="00E21101" w:rsidP="00E21101">
      <w:pPr>
        <w:spacing w:after="0" w:line="240" w:lineRule="auto"/>
        <w:jc w:val="both"/>
        <w:rPr>
          <w:rFonts w:ascii="Arial" w:hAnsi="Arial" w:cs="Arial"/>
          <w:b/>
          <w:bCs/>
          <w:sz w:val="24"/>
          <w:szCs w:val="24"/>
        </w:rPr>
      </w:pPr>
      <w:r w:rsidRPr="00E21101">
        <w:rPr>
          <w:rFonts w:ascii="Arial" w:hAnsi="Arial" w:cs="Arial"/>
          <w:b/>
          <w:bCs/>
          <w:sz w:val="24"/>
          <w:szCs w:val="24"/>
        </w:rPr>
        <w:t>El Pliego de C</w:t>
      </w:r>
      <w:r w:rsidR="00B756D5">
        <w:rPr>
          <w:rFonts w:ascii="Arial" w:hAnsi="Arial" w:cs="Arial"/>
          <w:b/>
          <w:bCs/>
          <w:sz w:val="24"/>
          <w:szCs w:val="24"/>
        </w:rPr>
        <w:t>lá</w:t>
      </w:r>
      <w:r w:rsidRPr="00E21101">
        <w:rPr>
          <w:rFonts w:ascii="Arial" w:hAnsi="Arial" w:cs="Arial"/>
          <w:b/>
          <w:bCs/>
          <w:sz w:val="24"/>
          <w:szCs w:val="24"/>
        </w:rPr>
        <w:t>usulas Especiales no contempla la posibilidad planteada de pago de anticipo financiero. En tal sentido, cabe señalar lo expresado en el art. 31º PCE, se transcribe: REDETERMINACIÓN DE PRECIOS. El Contrato estará sujeto a Redeterminación de Precios, de acuerdo con la Metodología y Normas Desarrolladas en los Decretos Nacionales Nº 490/2023; 691/2016, Resolución Conjunta del Ministerio de Economía de la Nación Nº 396/2002, de la Secretaría de Obras Públicas de la Nación Nº 107/2002 y todas las otras Disposiciones que sean emitidas por el Gobierno Nacional a las cuales la Universidad Nacional del Nordeste adhiera expresamente. Al único efecto de la Redeterminación de Precios, se tomará como mes base, el de la fecha de Apertura de las ofertas.</w:t>
      </w:r>
    </w:p>
    <w:p w14:paraId="3652FADC" w14:textId="77777777" w:rsidR="00E21101" w:rsidRPr="00E21101" w:rsidRDefault="00E21101" w:rsidP="00E21101">
      <w:pPr>
        <w:spacing w:after="0" w:line="240" w:lineRule="auto"/>
        <w:jc w:val="both"/>
        <w:rPr>
          <w:rFonts w:ascii="Arial" w:hAnsi="Arial" w:cs="Arial"/>
          <w:b/>
          <w:bCs/>
          <w:sz w:val="24"/>
          <w:szCs w:val="24"/>
        </w:rPr>
      </w:pPr>
      <w:r w:rsidRPr="00E21101">
        <w:rPr>
          <w:rFonts w:ascii="Arial" w:hAnsi="Arial" w:cs="Arial"/>
          <w:b/>
          <w:bCs/>
          <w:sz w:val="24"/>
          <w:szCs w:val="24"/>
        </w:rPr>
        <w:t>El oferente podrá renunciar al pedido de Redeterminación de Precios, mediante Declaración Jurada, tal acción importará la liberación de las exigencias señaladas en el Art. 22º (Ver Anexo 6).</w:t>
      </w:r>
    </w:p>
    <w:p w14:paraId="475039C9" w14:textId="77777777" w:rsidR="00773FDB" w:rsidRPr="00E21101" w:rsidRDefault="00773FDB" w:rsidP="00E21101">
      <w:pPr>
        <w:spacing w:after="0" w:line="240" w:lineRule="auto"/>
        <w:jc w:val="both"/>
        <w:rPr>
          <w:rFonts w:ascii="Times New Roman" w:hAnsi="Times New Roman" w:cs="Times New Roman"/>
          <w:sz w:val="24"/>
          <w:szCs w:val="24"/>
        </w:rPr>
      </w:pPr>
    </w:p>
    <w:p w14:paraId="5EAB1CAD" w14:textId="47104B50" w:rsidR="00874294" w:rsidRPr="00E21101" w:rsidRDefault="00874294" w:rsidP="00E21101">
      <w:pPr>
        <w:spacing w:after="0" w:line="240" w:lineRule="auto"/>
        <w:jc w:val="both"/>
        <w:rPr>
          <w:rFonts w:ascii="Arial" w:hAnsi="Arial" w:cs="Arial"/>
          <w:color w:val="222222"/>
          <w:sz w:val="24"/>
          <w:szCs w:val="24"/>
          <w:u w:val="single"/>
          <w:shd w:val="clear" w:color="auto" w:fill="FFFFFF"/>
        </w:rPr>
      </w:pPr>
      <w:r w:rsidRPr="00E21101">
        <w:rPr>
          <w:rFonts w:ascii="Arial" w:hAnsi="Arial" w:cs="Arial"/>
          <w:color w:val="222222"/>
          <w:sz w:val="24"/>
          <w:szCs w:val="24"/>
          <w:u w:val="single"/>
          <w:shd w:val="clear" w:color="auto" w:fill="FFFFFF"/>
        </w:rPr>
        <w:t>Consulta 2:</w:t>
      </w:r>
    </w:p>
    <w:p w14:paraId="64DE8940" w14:textId="5BC94FAF" w:rsidR="003F137F" w:rsidRPr="00E21101" w:rsidRDefault="00773FDB" w:rsidP="00E21101">
      <w:pPr>
        <w:spacing w:after="0" w:line="240" w:lineRule="auto"/>
        <w:jc w:val="both"/>
        <w:rPr>
          <w:rFonts w:ascii="Times New Roman" w:hAnsi="Times New Roman" w:cs="Times New Roman"/>
          <w:sz w:val="24"/>
          <w:szCs w:val="24"/>
        </w:rPr>
      </w:pPr>
      <w:r w:rsidRPr="00E21101">
        <w:rPr>
          <w:rFonts w:ascii="Arial" w:hAnsi="Arial" w:cs="Arial"/>
          <w:color w:val="222222"/>
          <w:sz w:val="24"/>
          <w:szCs w:val="24"/>
          <w:shd w:val="clear" w:color="auto" w:fill="FFFFFF"/>
        </w:rPr>
        <w:t>¿La universidad actúa como agente de retención (IVA)?</w:t>
      </w:r>
    </w:p>
    <w:p w14:paraId="771441E8" w14:textId="77777777" w:rsidR="00E21101" w:rsidRPr="00E21101" w:rsidRDefault="00E21101" w:rsidP="00E21101">
      <w:pPr>
        <w:spacing w:after="0" w:line="240" w:lineRule="auto"/>
        <w:jc w:val="both"/>
        <w:rPr>
          <w:rFonts w:ascii="Arial" w:hAnsi="Arial" w:cs="Arial"/>
          <w:b/>
          <w:bCs/>
          <w:sz w:val="24"/>
          <w:szCs w:val="24"/>
        </w:rPr>
      </w:pPr>
      <w:r w:rsidRPr="00E21101">
        <w:rPr>
          <w:rFonts w:ascii="Arial" w:hAnsi="Arial" w:cs="Arial"/>
          <w:b/>
          <w:bCs/>
          <w:sz w:val="24"/>
          <w:szCs w:val="24"/>
        </w:rPr>
        <w:t xml:space="preserve">SE RESPONDE: </w:t>
      </w:r>
    </w:p>
    <w:p w14:paraId="58347438" w14:textId="6A434758" w:rsidR="00773FDB" w:rsidRPr="00995FF3" w:rsidRDefault="00E21101" w:rsidP="00E21101">
      <w:pPr>
        <w:spacing w:after="0" w:line="240" w:lineRule="auto"/>
        <w:jc w:val="both"/>
        <w:rPr>
          <w:rFonts w:ascii="Arial" w:hAnsi="Arial" w:cs="Arial"/>
          <w:b/>
          <w:bCs/>
          <w:sz w:val="24"/>
          <w:szCs w:val="24"/>
        </w:rPr>
      </w:pPr>
      <w:r w:rsidRPr="00E21101">
        <w:rPr>
          <w:rFonts w:ascii="Arial" w:hAnsi="Arial" w:cs="Arial"/>
          <w:b/>
          <w:bCs/>
          <w:sz w:val="24"/>
          <w:szCs w:val="24"/>
        </w:rPr>
        <w:t xml:space="preserve">La UNNE, es sujeto exento en el IVA por los que los Proveedores no discriminan el Impuesto (Factura B). Como AGENTE DE RETENCION de los impuestos a las </w:t>
      </w:r>
      <w:r w:rsidRPr="00E21101">
        <w:rPr>
          <w:rFonts w:ascii="Arial" w:hAnsi="Arial" w:cs="Arial"/>
          <w:b/>
          <w:bCs/>
          <w:sz w:val="24"/>
          <w:szCs w:val="24"/>
        </w:rPr>
        <w:lastRenderedPageBreak/>
        <w:t>Ganancias, Ingresos Brutos y Valor Agregado se practicarán los que correspondan al momento de pago</w:t>
      </w:r>
    </w:p>
    <w:p w14:paraId="558CFF55" w14:textId="484E4455" w:rsidR="0072551C" w:rsidRDefault="0072551C" w:rsidP="00E21101">
      <w:pPr>
        <w:spacing w:after="0" w:line="240" w:lineRule="auto"/>
        <w:jc w:val="both"/>
        <w:rPr>
          <w:rFonts w:ascii="Times New Roman" w:hAnsi="Times New Roman" w:cs="Times New Roman"/>
          <w:sz w:val="24"/>
          <w:szCs w:val="24"/>
        </w:rPr>
      </w:pPr>
    </w:p>
    <w:p w14:paraId="67461962" w14:textId="416DC353" w:rsidR="00764BBC" w:rsidRPr="00995FF3" w:rsidRDefault="00995FF3" w:rsidP="00995FF3">
      <w:pPr>
        <w:spacing w:after="0" w:line="240" w:lineRule="auto"/>
        <w:jc w:val="both"/>
        <w:rPr>
          <w:rFonts w:ascii="Times New Roman" w:hAnsi="Times New Roman" w:cs="Times New Roman"/>
          <w:sz w:val="24"/>
          <w:szCs w:val="24"/>
        </w:rPr>
      </w:pPr>
      <w:r>
        <w:rPr>
          <w:noProof/>
        </w:rPr>
        <w:t xml:space="preserve">                                                                                      </w:t>
      </w:r>
      <w:r>
        <w:rPr>
          <w:noProof/>
        </w:rPr>
        <w:drawing>
          <wp:inline distT="0" distB="0" distL="0" distR="0" wp14:anchorId="427E77C5" wp14:editId="08C5A007">
            <wp:extent cx="1133475" cy="1863283"/>
            <wp:effectExtent l="0" t="2857" r="6667" b="6668"/>
            <wp:docPr id="11767772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1142295" cy="1877782"/>
                    </a:xfrm>
                    <a:prstGeom prst="rect">
                      <a:avLst/>
                    </a:prstGeom>
                    <a:noFill/>
                  </pic:spPr>
                </pic:pic>
              </a:graphicData>
            </a:graphic>
          </wp:inline>
        </w:drawing>
      </w:r>
    </w:p>
    <w:p w14:paraId="7DECCA3A" w14:textId="3CF47B3B" w:rsidR="003F137F" w:rsidRPr="00E21101" w:rsidRDefault="003F137F" w:rsidP="00E21101">
      <w:pPr>
        <w:pStyle w:val="Prrafodelista"/>
        <w:numPr>
          <w:ilvl w:val="0"/>
          <w:numId w:val="2"/>
        </w:numPr>
        <w:spacing w:after="0" w:line="240" w:lineRule="auto"/>
        <w:ind w:left="0" w:firstLine="0"/>
        <w:jc w:val="both"/>
        <w:rPr>
          <w:rFonts w:ascii="Times New Roman" w:hAnsi="Times New Roman" w:cs="Times New Roman"/>
          <w:sz w:val="24"/>
          <w:szCs w:val="24"/>
          <w:u w:val="single"/>
        </w:rPr>
      </w:pPr>
      <w:r w:rsidRPr="00E21101">
        <w:rPr>
          <w:rFonts w:ascii="Arial" w:hAnsi="Arial" w:cs="Arial"/>
          <w:b/>
          <w:bCs/>
          <w:color w:val="222222"/>
          <w:sz w:val="24"/>
          <w:szCs w:val="24"/>
          <w:u w:val="single"/>
          <w:shd w:val="clear" w:color="auto" w:fill="FFFFFF"/>
        </w:rPr>
        <w:t>Técnicas</w:t>
      </w:r>
    </w:p>
    <w:p w14:paraId="1192E770" w14:textId="77777777" w:rsidR="003F137F" w:rsidRPr="00E21101" w:rsidRDefault="003F137F" w:rsidP="00E21101">
      <w:pPr>
        <w:pStyle w:val="Prrafodelista"/>
        <w:spacing w:after="0" w:line="240" w:lineRule="auto"/>
        <w:ind w:left="927"/>
        <w:jc w:val="both"/>
        <w:rPr>
          <w:rFonts w:ascii="Times New Roman" w:hAnsi="Times New Roman" w:cs="Times New Roman"/>
          <w:sz w:val="24"/>
          <w:szCs w:val="24"/>
        </w:rPr>
      </w:pPr>
    </w:p>
    <w:p w14:paraId="71120264" w14:textId="7A4BB057" w:rsidR="00764BBC" w:rsidRPr="00D75169" w:rsidRDefault="00764BBC" w:rsidP="00D75169">
      <w:pPr>
        <w:spacing w:after="0" w:line="240" w:lineRule="auto"/>
        <w:jc w:val="both"/>
        <w:rPr>
          <w:rFonts w:ascii="Arial" w:hAnsi="Arial" w:cs="Arial"/>
          <w:color w:val="222222"/>
          <w:sz w:val="24"/>
          <w:szCs w:val="24"/>
          <w:u w:val="single"/>
          <w:shd w:val="clear" w:color="auto" w:fill="FFFFFF"/>
        </w:rPr>
      </w:pPr>
      <w:r w:rsidRPr="00E21101">
        <w:rPr>
          <w:rFonts w:ascii="Arial" w:hAnsi="Arial" w:cs="Arial"/>
          <w:color w:val="222222"/>
          <w:sz w:val="24"/>
          <w:szCs w:val="24"/>
          <w:u w:val="single"/>
          <w:shd w:val="clear" w:color="auto" w:fill="FFFFFF"/>
        </w:rPr>
        <w:t>Consulta 1:</w:t>
      </w:r>
    </w:p>
    <w:p w14:paraId="65D73E5E" w14:textId="00134583" w:rsidR="00E21101" w:rsidRPr="00D75169" w:rsidRDefault="0024407E" w:rsidP="00E21101">
      <w:pPr>
        <w:spacing w:after="0" w:line="240" w:lineRule="auto"/>
        <w:jc w:val="both"/>
        <w:rPr>
          <w:rFonts w:ascii="Times New Roman" w:hAnsi="Times New Roman" w:cs="Times New Roman"/>
          <w:sz w:val="24"/>
          <w:szCs w:val="24"/>
        </w:rPr>
      </w:pPr>
      <w:r w:rsidRPr="00E21101">
        <w:rPr>
          <w:rFonts w:ascii="Arial" w:hAnsi="Arial" w:cs="Arial"/>
          <w:color w:val="222222"/>
          <w:sz w:val="24"/>
          <w:szCs w:val="24"/>
          <w:shd w:val="clear" w:color="auto" w:fill="FFFFFF"/>
        </w:rPr>
        <w:t>El cableado de instalación eléctrica para los circuitos de iluminación, ¿están planteados por sobre el cielorraso, o podría hacerse por debajo con cañería a la vista?</w:t>
      </w:r>
    </w:p>
    <w:p w14:paraId="427DAA25" w14:textId="77777777" w:rsidR="00E21101" w:rsidRPr="00E21101" w:rsidRDefault="00E21101" w:rsidP="00E21101">
      <w:pPr>
        <w:spacing w:after="0" w:line="240" w:lineRule="auto"/>
        <w:jc w:val="both"/>
        <w:rPr>
          <w:rFonts w:ascii="Arial" w:hAnsi="Arial" w:cs="Arial"/>
          <w:b/>
          <w:bCs/>
          <w:color w:val="222222"/>
          <w:sz w:val="24"/>
          <w:szCs w:val="24"/>
          <w:shd w:val="clear" w:color="auto" w:fill="FFFFFF"/>
        </w:rPr>
      </w:pPr>
      <w:r w:rsidRPr="00E21101">
        <w:rPr>
          <w:rFonts w:ascii="Arial" w:hAnsi="Arial" w:cs="Arial"/>
          <w:b/>
          <w:bCs/>
          <w:color w:val="222222"/>
          <w:sz w:val="24"/>
          <w:szCs w:val="24"/>
          <w:shd w:val="clear" w:color="auto" w:fill="FFFFFF"/>
        </w:rPr>
        <w:t>SE RESPONDE:</w:t>
      </w:r>
    </w:p>
    <w:p w14:paraId="7025338B" w14:textId="72100DB1" w:rsidR="00764BBC" w:rsidRPr="00E21101" w:rsidRDefault="00764BBC" w:rsidP="00E21101">
      <w:pPr>
        <w:spacing w:after="0" w:line="240" w:lineRule="auto"/>
        <w:jc w:val="both"/>
        <w:rPr>
          <w:rFonts w:ascii="Arial" w:hAnsi="Arial" w:cs="Arial"/>
          <w:b/>
          <w:bCs/>
          <w:color w:val="222222"/>
          <w:sz w:val="24"/>
          <w:szCs w:val="24"/>
          <w:shd w:val="clear" w:color="auto" w:fill="FFFFFF"/>
        </w:rPr>
      </w:pPr>
      <w:r w:rsidRPr="00E21101">
        <w:rPr>
          <w:rFonts w:ascii="Arial" w:hAnsi="Arial" w:cs="Arial"/>
          <w:b/>
          <w:bCs/>
          <w:color w:val="222222"/>
          <w:sz w:val="24"/>
          <w:szCs w:val="24"/>
          <w:shd w:val="clear" w:color="auto" w:fill="FFFFFF"/>
        </w:rPr>
        <w:t xml:space="preserve">El cableado dentro de cañerías tipo eléctricos de distribución de luminarias se deberá realizar sobre el </w:t>
      </w:r>
      <w:r w:rsidR="00B756D5" w:rsidRPr="00E21101">
        <w:rPr>
          <w:rFonts w:ascii="Arial" w:hAnsi="Arial" w:cs="Arial"/>
          <w:b/>
          <w:bCs/>
          <w:color w:val="222222"/>
          <w:sz w:val="24"/>
          <w:szCs w:val="24"/>
          <w:shd w:val="clear" w:color="auto" w:fill="FFFFFF"/>
        </w:rPr>
        <w:t>cielorraso</w:t>
      </w:r>
      <w:r w:rsidRPr="00E21101">
        <w:rPr>
          <w:rFonts w:ascii="Arial" w:hAnsi="Arial" w:cs="Arial"/>
          <w:b/>
          <w:bCs/>
          <w:color w:val="222222"/>
          <w:sz w:val="24"/>
          <w:szCs w:val="24"/>
          <w:shd w:val="clear" w:color="auto" w:fill="FFFFFF"/>
        </w:rPr>
        <w:t>. Debiendo tomar las medidas necesarias para su instalación y su correcta función.</w:t>
      </w:r>
    </w:p>
    <w:p w14:paraId="252EC83D" w14:textId="77777777" w:rsidR="000F3F6A" w:rsidRDefault="000F3F6A" w:rsidP="00E21101">
      <w:pPr>
        <w:spacing w:after="0" w:line="240" w:lineRule="auto"/>
        <w:jc w:val="both"/>
        <w:rPr>
          <w:rFonts w:ascii="Arial" w:hAnsi="Arial" w:cs="Arial"/>
          <w:color w:val="222222"/>
          <w:u w:val="single"/>
          <w:shd w:val="clear" w:color="auto" w:fill="FFFFFF"/>
        </w:rPr>
      </w:pPr>
    </w:p>
    <w:p w14:paraId="474F3214" w14:textId="41B86738" w:rsidR="0024407E" w:rsidRPr="00D75169" w:rsidRDefault="00764BBC" w:rsidP="00D75169">
      <w:pPr>
        <w:spacing w:after="0" w:line="240" w:lineRule="auto"/>
        <w:jc w:val="both"/>
        <w:rPr>
          <w:rFonts w:ascii="Arial" w:hAnsi="Arial" w:cs="Arial"/>
          <w:color w:val="222222"/>
          <w:sz w:val="24"/>
          <w:szCs w:val="24"/>
          <w:u w:val="single"/>
          <w:shd w:val="clear" w:color="auto" w:fill="FFFFFF"/>
        </w:rPr>
      </w:pPr>
      <w:r w:rsidRPr="00D75169">
        <w:rPr>
          <w:rFonts w:ascii="Arial" w:hAnsi="Arial" w:cs="Arial"/>
          <w:color w:val="222222"/>
          <w:sz w:val="24"/>
          <w:szCs w:val="24"/>
          <w:u w:val="single"/>
          <w:shd w:val="clear" w:color="auto" w:fill="FFFFFF"/>
        </w:rPr>
        <w:t>Consulta 2:</w:t>
      </w:r>
    </w:p>
    <w:p w14:paraId="77281026" w14:textId="63F3A0EC" w:rsidR="0024407E" w:rsidRDefault="0024407E" w:rsidP="00D75169">
      <w:pPr>
        <w:spacing w:after="0" w:line="240" w:lineRule="auto"/>
        <w:jc w:val="both"/>
        <w:rPr>
          <w:rFonts w:ascii="Arial" w:hAnsi="Arial" w:cs="Arial"/>
          <w:color w:val="222222"/>
          <w:sz w:val="24"/>
          <w:szCs w:val="24"/>
          <w:shd w:val="clear" w:color="auto" w:fill="FFFFFF"/>
        </w:rPr>
      </w:pPr>
      <w:r w:rsidRPr="00D75169">
        <w:rPr>
          <w:rFonts w:ascii="Arial" w:hAnsi="Arial" w:cs="Arial"/>
          <w:color w:val="222222"/>
          <w:sz w:val="24"/>
          <w:szCs w:val="24"/>
          <w:shd w:val="clear" w:color="auto" w:fill="FFFFFF"/>
        </w:rPr>
        <w:t>En el plano de tomacorrientes, donde se proyectan entre escritorios algunas unidades, y el cruce desde la mampostería se indica con el mismo "c</w:t>
      </w:r>
      <w:r w:rsidR="00764BBC" w:rsidRPr="00D75169">
        <w:rPr>
          <w:rFonts w:ascii="Arial" w:hAnsi="Arial" w:cs="Arial"/>
          <w:color w:val="222222"/>
          <w:sz w:val="24"/>
          <w:szCs w:val="24"/>
          <w:shd w:val="clear" w:color="auto" w:fill="FFFFFF"/>
        </w:rPr>
        <w:t>a</w:t>
      </w:r>
      <w:r w:rsidRPr="00D75169">
        <w:rPr>
          <w:rFonts w:ascii="Arial" w:hAnsi="Arial" w:cs="Arial"/>
          <w:color w:val="222222"/>
          <w:sz w:val="24"/>
          <w:szCs w:val="24"/>
          <w:shd w:val="clear" w:color="auto" w:fill="FFFFFF"/>
        </w:rPr>
        <w:t>b</w:t>
      </w:r>
      <w:r w:rsidR="00764BBC" w:rsidRPr="00D75169">
        <w:rPr>
          <w:rFonts w:ascii="Arial" w:hAnsi="Arial" w:cs="Arial"/>
          <w:color w:val="222222"/>
          <w:sz w:val="24"/>
          <w:szCs w:val="24"/>
          <w:shd w:val="clear" w:color="auto" w:fill="FFFFFF"/>
        </w:rPr>
        <w:t>l</w:t>
      </w:r>
      <w:r w:rsidRPr="00D75169">
        <w:rPr>
          <w:rFonts w:ascii="Arial" w:hAnsi="Arial" w:cs="Arial"/>
          <w:color w:val="222222"/>
          <w:sz w:val="24"/>
          <w:szCs w:val="24"/>
          <w:shd w:val="clear" w:color="auto" w:fill="FFFFFF"/>
        </w:rPr>
        <w:t>e</w:t>
      </w:r>
      <w:r w:rsidR="00764BBC" w:rsidRPr="00D75169">
        <w:rPr>
          <w:rFonts w:ascii="Arial" w:hAnsi="Arial" w:cs="Arial"/>
          <w:color w:val="222222"/>
          <w:sz w:val="24"/>
          <w:szCs w:val="24"/>
          <w:shd w:val="clear" w:color="auto" w:fill="FFFFFF"/>
        </w:rPr>
        <w:t>-</w:t>
      </w:r>
      <w:r w:rsidRPr="00D75169">
        <w:rPr>
          <w:rFonts w:ascii="Arial" w:hAnsi="Arial" w:cs="Arial"/>
          <w:color w:val="222222"/>
          <w:sz w:val="24"/>
          <w:szCs w:val="24"/>
          <w:shd w:val="clear" w:color="auto" w:fill="FFFFFF"/>
        </w:rPr>
        <w:t>canal" que va por pared, ¿eso es así?</w:t>
      </w:r>
    </w:p>
    <w:p w14:paraId="2ED36D42" w14:textId="039B48B1" w:rsidR="00D75169" w:rsidRPr="00D75169" w:rsidRDefault="00D75169" w:rsidP="00D75169">
      <w:pPr>
        <w:spacing w:after="0" w:line="240" w:lineRule="auto"/>
        <w:jc w:val="both"/>
        <w:rPr>
          <w:rFonts w:ascii="Arial" w:hAnsi="Arial" w:cs="Arial"/>
          <w:b/>
          <w:bCs/>
          <w:color w:val="222222"/>
          <w:sz w:val="24"/>
          <w:szCs w:val="24"/>
          <w:shd w:val="clear" w:color="auto" w:fill="FFFFFF"/>
        </w:rPr>
      </w:pPr>
      <w:r w:rsidRPr="00D75169">
        <w:rPr>
          <w:rFonts w:ascii="Arial" w:hAnsi="Arial" w:cs="Arial"/>
          <w:b/>
          <w:bCs/>
          <w:color w:val="222222"/>
          <w:sz w:val="24"/>
          <w:szCs w:val="24"/>
          <w:shd w:val="clear" w:color="auto" w:fill="FFFFFF"/>
        </w:rPr>
        <w:t>SE RESPONDE:</w:t>
      </w:r>
    </w:p>
    <w:p w14:paraId="4941A8C4" w14:textId="5AA6D07D" w:rsidR="00420D0B" w:rsidRPr="00D75169" w:rsidRDefault="00764BBC" w:rsidP="00D75169">
      <w:pPr>
        <w:spacing w:after="0" w:line="240" w:lineRule="auto"/>
        <w:jc w:val="both"/>
        <w:rPr>
          <w:rFonts w:ascii="Arial" w:hAnsi="Arial" w:cs="Arial"/>
          <w:color w:val="222222"/>
          <w:sz w:val="24"/>
          <w:szCs w:val="24"/>
          <w:shd w:val="clear" w:color="auto" w:fill="FFFFFF"/>
        </w:rPr>
      </w:pPr>
      <w:r w:rsidRPr="00D75169">
        <w:rPr>
          <w:rFonts w:ascii="Arial" w:hAnsi="Arial" w:cs="Arial"/>
          <w:b/>
          <w:bCs/>
          <w:color w:val="222222"/>
          <w:sz w:val="24"/>
          <w:szCs w:val="24"/>
          <w:shd w:val="clear" w:color="auto" w:fill="FFFFFF"/>
        </w:rPr>
        <w:t>En el caso de esta consulta, el paso por mampostería deberá realizarse mediante cajas de paso de acuerdo a la Reglamentación vigente, estando prohibido el uso de cable canal para este uso. El mismo deberá realizarse según la normativa vigente y las reglas del buen arte para las instalaciones eléctricas, dejando el mismo en perfecto estado de terminación y funcionamiento.</w:t>
      </w:r>
      <w:r w:rsidR="00EE1C60" w:rsidRPr="00D75169">
        <w:rPr>
          <w:rFonts w:ascii="Arial" w:hAnsi="Arial" w:cs="Arial"/>
          <w:b/>
          <w:bCs/>
          <w:color w:val="222222"/>
          <w:sz w:val="24"/>
          <w:szCs w:val="24"/>
          <w:shd w:val="clear" w:color="auto" w:fill="FFFFFF"/>
        </w:rPr>
        <w:tab/>
      </w:r>
      <w:r w:rsidR="00D65340" w:rsidRPr="00D75169">
        <w:rPr>
          <w:rFonts w:ascii="Arial" w:hAnsi="Arial" w:cs="Arial"/>
          <w:color w:val="222222"/>
          <w:sz w:val="24"/>
          <w:szCs w:val="24"/>
          <w:shd w:val="clear" w:color="auto" w:fill="FFFFFF"/>
        </w:rPr>
        <w:tab/>
      </w:r>
      <w:r w:rsidR="00BC581D" w:rsidRPr="00D75169">
        <w:rPr>
          <w:rFonts w:ascii="Arial" w:hAnsi="Arial" w:cs="Arial"/>
          <w:color w:val="222222"/>
          <w:sz w:val="24"/>
          <w:szCs w:val="24"/>
          <w:shd w:val="clear" w:color="auto" w:fill="FFFFFF"/>
        </w:rPr>
        <w:t xml:space="preserve"> </w:t>
      </w:r>
    </w:p>
    <w:p w14:paraId="4D2DEFC5" w14:textId="5C81BF51" w:rsidR="003E7F2F" w:rsidRDefault="005C34F3" w:rsidP="00E21101">
      <w:pPr>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E1C60">
        <w:rPr>
          <w:rFonts w:ascii="Times New Roman" w:hAnsi="Times New Roman" w:cs="Times New Roman"/>
        </w:rPr>
        <w:t xml:space="preserve"> </w:t>
      </w:r>
    </w:p>
    <w:p w14:paraId="3E39F483" w14:textId="77F36BCB" w:rsidR="00764BBC" w:rsidRDefault="007E7A62" w:rsidP="00E21101">
      <w:pPr>
        <w:spacing w:after="0" w:line="240" w:lineRule="auto"/>
        <w:jc w:val="both"/>
        <w:rPr>
          <w:rFonts w:ascii="Arial" w:hAnsi="Arial" w:cs="Arial"/>
          <w:b/>
          <w:bCs/>
          <w:sz w:val="20"/>
          <w:szCs w:val="20"/>
          <w:shd w:val="clear" w:color="auto" w:fill="FFFFFF"/>
        </w:rPr>
      </w:pPr>
      <w:r>
        <w:rPr>
          <w:noProof/>
        </w:rPr>
        <w:drawing>
          <wp:inline distT="0" distB="0" distL="0" distR="0" wp14:anchorId="593368F0" wp14:editId="244D9D73">
            <wp:extent cx="1476375" cy="1362075"/>
            <wp:effectExtent l="0" t="0" r="9525" b="9525"/>
            <wp:docPr id="10362527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1362075"/>
                    </a:xfrm>
                    <a:prstGeom prst="rect">
                      <a:avLst/>
                    </a:prstGeom>
                    <a:noFill/>
                    <a:ln>
                      <a:noFill/>
                    </a:ln>
                  </pic:spPr>
                </pic:pic>
              </a:graphicData>
            </a:graphic>
          </wp:inline>
        </w:drawing>
      </w:r>
      <w:r w:rsidR="00E238D7">
        <w:rPr>
          <w:rFonts w:ascii="Arial" w:hAnsi="Arial" w:cs="Arial"/>
          <w:b/>
          <w:bCs/>
          <w:sz w:val="20"/>
          <w:szCs w:val="20"/>
          <w:shd w:val="clear" w:color="auto" w:fill="FFFFFF"/>
        </w:rPr>
        <w:t xml:space="preserve">                                  </w:t>
      </w:r>
      <w:r w:rsidR="00E238D7">
        <w:rPr>
          <w:noProof/>
        </w:rPr>
        <w:drawing>
          <wp:inline distT="0" distB="0" distL="0" distR="0" wp14:anchorId="2C491172" wp14:editId="0313E42D">
            <wp:extent cx="1466850" cy="1038225"/>
            <wp:effectExtent l="0" t="0" r="0" b="9525"/>
            <wp:docPr id="2" name="Imagen 1" descr="C:\Users\Usuario\Documents\Curriculum\fir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Users\Usuario\Documents\Curriculum\firma.png"/>
                    <pic:cNvPicPr>
                      <a:picLocks noChangeAspect="1"/>
                    </pic:cNvPicPr>
                  </pic:nvPicPr>
                  <pic:blipFill rotWithShape="1">
                    <a:blip r:embed="rId10" cstate="print">
                      <a:extLst>
                        <a:ext uri="{28A0092B-C50C-407E-A947-70E740481C1C}">
                          <a14:useLocalDpi xmlns:a14="http://schemas.microsoft.com/office/drawing/2010/main" val="0"/>
                        </a:ext>
                      </a:extLst>
                    </a:blip>
                    <a:srcRect r="62704" b="53071"/>
                    <a:stretch/>
                  </pic:blipFill>
                  <pic:spPr bwMode="auto">
                    <a:xfrm>
                      <a:off x="0" y="0"/>
                      <a:ext cx="1466850" cy="1038225"/>
                    </a:xfrm>
                    <a:prstGeom prst="rect">
                      <a:avLst/>
                    </a:prstGeom>
                    <a:noFill/>
                    <a:ln>
                      <a:noFill/>
                    </a:ln>
                    <a:extLst>
                      <a:ext uri="{53640926-AAD7-44D8-BBD7-CCE9431645EC}">
                        <a14:shadowObscured xmlns:a14="http://schemas.microsoft.com/office/drawing/2010/main"/>
                      </a:ext>
                    </a:extLst>
                  </pic:spPr>
                </pic:pic>
              </a:graphicData>
            </a:graphic>
          </wp:inline>
        </w:drawing>
      </w:r>
    </w:p>
    <w:p w14:paraId="18643DDB" w14:textId="77777777" w:rsidR="00764BBC" w:rsidRDefault="00764BBC" w:rsidP="00E21101">
      <w:pPr>
        <w:spacing w:after="0" w:line="240" w:lineRule="auto"/>
        <w:jc w:val="both"/>
        <w:rPr>
          <w:rFonts w:ascii="Arial" w:hAnsi="Arial" w:cs="Arial"/>
          <w:b/>
          <w:bCs/>
          <w:sz w:val="20"/>
          <w:szCs w:val="20"/>
          <w:shd w:val="clear" w:color="auto" w:fill="FFFFFF"/>
        </w:rPr>
      </w:pPr>
    </w:p>
    <w:p w14:paraId="5078E2F4" w14:textId="2C65C630" w:rsidR="003605E7" w:rsidRPr="00995FF3" w:rsidRDefault="0024407E" w:rsidP="00E21101">
      <w:pPr>
        <w:spacing w:after="0" w:line="240" w:lineRule="auto"/>
        <w:jc w:val="both"/>
        <w:rPr>
          <w:rFonts w:ascii="Arial" w:hAnsi="Arial" w:cs="Arial"/>
          <w:shd w:val="clear" w:color="auto" w:fill="FFFFFF"/>
        </w:rPr>
      </w:pPr>
      <w:r w:rsidRPr="0024407E">
        <w:rPr>
          <w:rFonts w:ascii="Arial" w:hAnsi="Arial" w:cs="Arial"/>
          <w:b/>
          <w:bCs/>
          <w:sz w:val="20"/>
          <w:szCs w:val="20"/>
          <w:shd w:val="clear" w:color="auto" w:fill="FFFFFF"/>
        </w:rPr>
        <w:t>DIRECCIÓN DE INFRAESTRUCTURA EDILICIA</w:t>
      </w:r>
      <w:r w:rsidR="00E747F2" w:rsidRPr="0024407E">
        <w:rPr>
          <w:rFonts w:ascii="Arial" w:hAnsi="Arial" w:cs="Arial"/>
          <w:b/>
          <w:bCs/>
          <w:sz w:val="20"/>
          <w:szCs w:val="20"/>
          <w:shd w:val="clear" w:color="auto" w:fill="FFFFFF"/>
        </w:rPr>
        <w:t xml:space="preserve">- </w:t>
      </w:r>
      <w:r w:rsidRPr="0024407E">
        <w:rPr>
          <w:rFonts w:ascii="Arial" w:hAnsi="Arial" w:cs="Arial"/>
          <w:b/>
          <w:bCs/>
          <w:sz w:val="20"/>
          <w:szCs w:val="20"/>
          <w:shd w:val="clear" w:color="auto" w:fill="FFFFFF"/>
        </w:rPr>
        <w:t xml:space="preserve">RECTORADO </w:t>
      </w:r>
      <w:r w:rsidR="00E747F2" w:rsidRPr="0024407E">
        <w:rPr>
          <w:rFonts w:ascii="Arial" w:hAnsi="Arial" w:cs="Arial"/>
          <w:b/>
          <w:bCs/>
          <w:sz w:val="20"/>
          <w:szCs w:val="20"/>
          <w:shd w:val="clear" w:color="auto" w:fill="FFFFFF"/>
        </w:rPr>
        <w:t>UNNE</w:t>
      </w:r>
      <w:r w:rsidR="003E7F2F" w:rsidRPr="0024407E">
        <w:rPr>
          <w:rFonts w:ascii="Arial" w:hAnsi="Arial" w:cs="Arial"/>
          <w:shd w:val="clear" w:color="auto" w:fill="FFFFFF"/>
        </w:rPr>
        <w:t xml:space="preserve">, </w:t>
      </w:r>
      <w:r w:rsidRPr="0024407E">
        <w:rPr>
          <w:rFonts w:ascii="Arial" w:hAnsi="Arial" w:cs="Arial"/>
          <w:shd w:val="clear" w:color="auto" w:fill="FFFFFF"/>
        </w:rPr>
        <w:t>0</w:t>
      </w:r>
      <w:r w:rsidR="0072551C">
        <w:rPr>
          <w:rFonts w:ascii="Arial" w:hAnsi="Arial" w:cs="Arial"/>
          <w:shd w:val="clear" w:color="auto" w:fill="FFFFFF"/>
        </w:rPr>
        <w:t>7</w:t>
      </w:r>
      <w:r w:rsidR="003E7F2F" w:rsidRPr="0024407E">
        <w:rPr>
          <w:rFonts w:ascii="Arial" w:hAnsi="Arial" w:cs="Arial"/>
          <w:shd w:val="clear" w:color="auto" w:fill="FFFFFF"/>
        </w:rPr>
        <w:t xml:space="preserve"> </w:t>
      </w:r>
      <w:r w:rsidR="007F4C21" w:rsidRPr="0024407E">
        <w:rPr>
          <w:rFonts w:ascii="Arial" w:hAnsi="Arial" w:cs="Arial"/>
          <w:shd w:val="clear" w:color="auto" w:fill="FFFFFF"/>
        </w:rPr>
        <w:t>d</w:t>
      </w:r>
      <w:r w:rsidR="003E7F2F" w:rsidRPr="0024407E">
        <w:rPr>
          <w:rFonts w:ascii="Arial" w:hAnsi="Arial" w:cs="Arial"/>
          <w:shd w:val="clear" w:color="auto" w:fill="FFFFFF"/>
        </w:rPr>
        <w:t xml:space="preserve">e </w:t>
      </w:r>
      <w:r w:rsidRPr="0024407E">
        <w:rPr>
          <w:rFonts w:ascii="Arial" w:hAnsi="Arial" w:cs="Arial"/>
          <w:shd w:val="clear" w:color="auto" w:fill="FFFFFF"/>
        </w:rPr>
        <w:t>Mayo</w:t>
      </w:r>
      <w:r w:rsidR="003E7F2F" w:rsidRPr="0024407E">
        <w:rPr>
          <w:rFonts w:ascii="Arial" w:hAnsi="Arial" w:cs="Arial"/>
          <w:shd w:val="clear" w:color="auto" w:fill="FFFFFF"/>
        </w:rPr>
        <w:t xml:space="preserve"> de 202</w:t>
      </w:r>
      <w:r w:rsidRPr="0024407E">
        <w:rPr>
          <w:rFonts w:ascii="Arial" w:hAnsi="Arial" w:cs="Arial"/>
          <w:shd w:val="clear" w:color="auto" w:fill="FFFFFF"/>
        </w:rPr>
        <w:t>4</w:t>
      </w:r>
      <w:r>
        <w:rPr>
          <w:rFonts w:ascii="Arial" w:hAnsi="Arial" w:cs="Arial"/>
          <w:shd w:val="clear" w:color="auto" w:fill="FFFFFF"/>
        </w:rPr>
        <w:t>.</w:t>
      </w:r>
      <w:bookmarkEnd w:id="0"/>
    </w:p>
    <w:sectPr w:rsidR="003605E7" w:rsidRPr="00995FF3" w:rsidSect="00A8210D">
      <w:headerReference w:type="default" r:id="rId11"/>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6CA34" w14:textId="77777777" w:rsidR="00A8210D" w:rsidRDefault="00A8210D" w:rsidP="00B52A61">
      <w:pPr>
        <w:spacing w:after="0" w:line="240" w:lineRule="auto"/>
      </w:pPr>
      <w:r>
        <w:separator/>
      </w:r>
    </w:p>
  </w:endnote>
  <w:endnote w:type="continuationSeparator" w:id="0">
    <w:p w14:paraId="2D9FD4FB" w14:textId="77777777" w:rsidR="00A8210D" w:rsidRDefault="00A8210D" w:rsidP="00B52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B93D6" w14:textId="77777777" w:rsidR="00A8210D" w:rsidRDefault="00A8210D" w:rsidP="00B52A61">
      <w:pPr>
        <w:spacing w:after="0" w:line="240" w:lineRule="auto"/>
      </w:pPr>
      <w:r>
        <w:separator/>
      </w:r>
    </w:p>
  </w:footnote>
  <w:footnote w:type="continuationSeparator" w:id="0">
    <w:p w14:paraId="3477BE07" w14:textId="77777777" w:rsidR="00A8210D" w:rsidRDefault="00A8210D" w:rsidP="00B52A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556FD" w14:textId="5A5FDCA0" w:rsidR="00831F1C" w:rsidRPr="00E21101" w:rsidRDefault="00B52A61" w:rsidP="00E21101">
    <w:pPr>
      <w:tabs>
        <w:tab w:val="center" w:pos="1985"/>
        <w:tab w:val="right" w:pos="8838"/>
      </w:tabs>
      <w:spacing w:line="240" w:lineRule="auto"/>
      <w:rPr>
        <w:rFonts w:ascii="Times New Roman" w:eastAsia="Times New Roman" w:hAnsi="Times New Roman" w:cs="Times New Roman"/>
        <w:sz w:val="28"/>
        <w:szCs w:val="28"/>
        <w:lang w:val="es-ES" w:eastAsia="es-ES"/>
      </w:rPr>
    </w:pPr>
    <w:r>
      <w:rPr>
        <w:rFonts w:ascii="Times New Roman" w:eastAsia="Times New Roman" w:hAnsi="Times New Roman" w:cs="Times New Roman"/>
        <w:sz w:val="28"/>
        <w:szCs w:val="28"/>
        <w:lang w:val="es-ES" w:eastAsia="es-ES"/>
      </w:rPr>
      <w:t xml:space="preserve">            </w:t>
    </w:r>
    <w:r w:rsidR="00F1610F">
      <w:rPr>
        <w:rFonts w:ascii="Times New Roman" w:eastAsia="Times New Roman" w:hAnsi="Times New Roman" w:cs="Times New Roman"/>
        <w:sz w:val="28"/>
        <w:szCs w:val="28"/>
        <w:lang w:val="es-ES" w:eastAsia="es-ES"/>
      </w:rPr>
      <w:t xml:space="preserve">  </w:t>
    </w:r>
    <w:r w:rsidR="00E21101">
      <w:rPr>
        <w:rFonts w:ascii="Times New Roman" w:eastAsia="Times New Roman" w:hAnsi="Times New Roman" w:cs="Times New Roman"/>
        <w:noProof/>
        <w:sz w:val="28"/>
        <w:szCs w:val="28"/>
        <w:lang w:val="es-ES" w:eastAsia="es-ES"/>
      </w:rPr>
      <w:drawing>
        <wp:inline distT="0" distB="0" distL="0" distR="0" wp14:anchorId="2398D1C1" wp14:editId="0FC8EE48">
          <wp:extent cx="5614670" cy="1444625"/>
          <wp:effectExtent l="0" t="0" r="5080" b="3175"/>
          <wp:docPr id="14302980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1444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892796"/>
    <w:multiLevelType w:val="hybridMultilevel"/>
    <w:tmpl w:val="3D822F64"/>
    <w:lvl w:ilvl="0" w:tplc="2BA4AFF8">
      <w:start w:val="1"/>
      <w:numFmt w:val="decimal"/>
      <w:lvlText w:val="%1)"/>
      <w:lvlJc w:val="left"/>
      <w:pPr>
        <w:ind w:left="927" w:hanging="360"/>
      </w:pPr>
      <w:rPr>
        <w:rFonts w:hint="default"/>
      </w:rPr>
    </w:lvl>
    <w:lvl w:ilvl="1" w:tplc="2C0A0019" w:tentative="1">
      <w:start w:val="1"/>
      <w:numFmt w:val="lowerLetter"/>
      <w:lvlText w:val="%2."/>
      <w:lvlJc w:val="left"/>
      <w:pPr>
        <w:ind w:left="1647" w:hanging="360"/>
      </w:pPr>
    </w:lvl>
    <w:lvl w:ilvl="2" w:tplc="2C0A001B" w:tentative="1">
      <w:start w:val="1"/>
      <w:numFmt w:val="lowerRoman"/>
      <w:lvlText w:val="%3."/>
      <w:lvlJc w:val="right"/>
      <w:pPr>
        <w:ind w:left="2367" w:hanging="180"/>
      </w:pPr>
    </w:lvl>
    <w:lvl w:ilvl="3" w:tplc="2C0A000F" w:tentative="1">
      <w:start w:val="1"/>
      <w:numFmt w:val="decimal"/>
      <w:lvlText w:val="%4."/>
      <w:lvlJc w:val="left"/>
      <w:pPr>
        <w:ind w:left="3087" w:hanging="360"/>
      </w:pPr>
    </w:lvl>
    <w:lvl w:ilvl="4" w:tplc="2C0A0019" w:tentative="1">
      <w:start w:val="1"/>
      <w:numFmt w:val="lowerLetter"/>
      <w:lvlText w:val="%5."/>
      <w:lvlJc w:val="left"/>
      <w:pPr>
        <w:ind w:left="3807" w:hanging="360"/>
      </w:pPr>
    </w:lvl>
    <w:lvl w:ilvl="5" w:tplc="2C0A001B" w:tentative="1">
      <w:start w:val="1"/>
      <w:numFmt w:val="lowerRoman"/>
      <w:lvlText w:val="%6."/>
      <w:lvlJc w:val="right"/>
      <w:pPr>
        <w:ind w:left="4527" w:hanging="180"/>
      </w:pPr>
    </w:lvl>
    <w:lvl w:ilvl="6" w:tplc="2C0A000F" w:tentative="1">
      <w:start w:val="1"/>
      <w:numFmt w:val="decimal"/>
      <w:lvlText w:val="%7."/>
      <w:lvlJc w:val="left"/>
      <w:pPr>
        <w:ind w:left="5247" w:hanging="360"/>
      </w:pPr>
    </w:lvl>
    <w:lvl w:ilvl="7" w:tplc="2C0A0019" w:tentative="1">
      <w:start w:val="1"/>
      <w:numFmt w:val="lowerLetter"/>
      <w:lvlText w:val="%8."/>
      <w:lvlJc w:val="left"/>
      <w:pPr>
        <w:ind w:left="5967" w:hanging="360"/>
      </w:pPr>
    </w:lvl>
    <w:lvl w:ilvl="8" w:tplc="2C0A001B" w:tentative="1">
      <w:start w:val="1"/>
      <w:numFmt w:val="lowerRoman"/>
      <w:lvlText w:val="%9."/>
      <w:lvlJc w:val="right"/>
      <w:pPr>
        <w:ind w:left="6687" w:hanging="180"/>
      </w:pPr>
    </w:lvl>
  </w:abstractNum>
  <w:abstractNum w:abstractNumId="1" w15:restartNumberingAfterBreak="0">
    <w:nsid w:val="18B3475D"/>
    <w:multiLevelType w:val="hybridMultilevel"/>
    <w:tmpl w:val="3E48E2C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38E2772B"/>
    <w:multiLevelType w:val="hybridMultilevel"/>
    <w:tmpl w:val="F8D00E7E"/>
    <w:lvl w:ilvl="0" w:tplc="AB28BDA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79C4211D"/>
    <w:multiLevelType w:val="hybridMultilevel"/>
    <w:tmpl w:val="F41EE2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264189632">
    <w:abstractNumId w:val="0"/>
  </w:num>
  <w:num w:numId="2" w16cid:durableId="314989189">
    <w:abstractNumId w:val="3"/>
  </w:num>
  <w:num w:numId="3" w16cid:durableId="144441861">
    <w:abstractNumId w:val="1"/>
  </w:num>
  <w:num w:numId="4" w16cid:durableId="42152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A61"/>
    <w:rsid w:val="000017B9"/>
    <w:rsid w:val="00046D47"/>
    <w:rsid w:val="00062BE7"/>
    <w:rsid w:val="00084B81"/>
    <w:rsid w:val="00094F50"/>
    <w:rsid w:val="000A4760"/>
    <w:rsid w:val="000B2CD4"/>
    <w:rsid w:val="000D5B5F"/>
    <w:rsid w:val="000E6AC6"/>
    <w:rsid w:val="000F3F6A"/>
    <w:rsid w:val="001262E8"/>
    <w:rsid w:val="001555E3"/>
    <w:rsid w:val="001963C9"/>
    <w:rsid w:val="001B06D8"/>
    <w:rsid w:val="001F32C5"/>
    <w:rsid w:val="00235429"/>
    <w:rsid w:val="0024407E"/>
    <w:rsid w:val="00282387"/>
    <w:rsid w:val="002A0861"/>
    <w:rsid w:val="002B410C"/>
    <w:rsid w:val="002F3C00"/>
    <w:rsid w:val="003605E7"/>
    <w:rsid w:val="00367D7E"/>
    <w:rsid w:val="003721CC"/>
    <w:rsid w:val="00372ACF"/>
    <w:rsid w:val="0038533A"/>
    <w:rsid w:val="003913C9"/>
    <w:rsid w:val="003B7AAB"/>
    <w:rsid w:val="003E7F2F"/>
    <w:rsid w:val="003F137F"/>
    <w:rsid w:val="00400EBE"/>
    <w:rsid w:val="00412867"/>
    <w:rsid w:val="00420D0B"/>
    <w:rsid w:val="004520FA"/>
    <w:rsid w:val="0051537B"/>
    <w:rsid w:val="005456CF"/>
    <w:rsid w:val="005500C1"/>
    <w:rsid w:val="005702AA"/>
    <w:rsid w:val="00587FA8"/>
    <w:rsid w:val="005C34F3"/>
    <w:rsid w:val="005E6E22"/>
    <w:rsid w:val="006816F8"/>
    <w:rsid w:val="00692650"/>
    <w:rsid w:val="006B30CA"/>
    <w:rsid w:val="006D3BDE"/>
    <w:rsid w:val="0072551C"/>
    <w:rsid w:val="00734EBE"/>
    <w:rsid w:val="00764BBC"/>
    <w:rsid w:val="00773FDB"/>
    <w:rsid w:val="007824DF"/>
    <w:rsid w:val="007A6707"/>
    <w:rsid w:val="007C50B5"/>
    <w:rsid w:val="007E7A62"/>
    <w:rsid w:val="007F198B"/>
    <w:rsid w:val="007F4C21"/>
    <w:rsid w:val="008010D1"/>
    <w:rsid w:val="00811076"/>
    <w:rsid w:val="00831F1C"/>
    <w:rsid w:val="008606C4"/>
    <w:rsid w:val="00865713"/>
    <w:rsid w:val="00874294"/>
    <w:rsid w:val="008B5E10"/>
    <w:rsid w:val="009014A4"/>
    <w:rsid w:val="00903197"/>
    <w:rsid w:val="009204DC"/>
    <w:rsid w:val="00922EB6"/>
    <w:rsid w:val="009446CE"/>
    <w:rsid w:val="009505AB"/>
    <w:rsid w:val="0095613C"/>
    <w:rsid w:val="00970B99"/>
    <w:rsid w:val="00995FF3"/>
    <w:rsid w:val="009B1A61"/>
    <w:rsid w:val="009D7E55"/>
    <w:rsid w:val="00A12C7D"/>
    <w:rsid w:val="00A45B33"/>
    <w:rsid w:val="00A4793F"/>
    <w:rsid w:val="00A8210D"/>
    <w:rsid w:val="00A842FA"/>
    <w:rsid w:val="00A87C77"/>
    <w:rsid w:val="00AA46BC"/>
    <w:rsid w:val="00B06D1E"/>
    <w:rsid w:val="00B20EFD"/>
    <w:rsid w:val="00B4798D"/>
    <w:rsid w:val="00B52A61"/>
    <w:rsid w:val="00B646E2"/>
    <w:rsid w:val="00B756D5"/>
    <w:rsid w:val="00B84178"/>
    <w:rsid w:val="00BC24CA"/>
    <w:rsid w:val="00BC581D"/>
    <w:rsid w:val="00BE07B3"/>
    <w:rsid w:val="00BE4B78"/>
    <w:rsid w:val="00C3607E"/>
    <w:rsid w:val="00C41EF2"/>
    <w:rsid w:val="00C85FE3"/>
    <w:rsid w:val="00CE6652"/>
    <w:rsid w:val="00CF7F26"/>
    <w:rsid w:val="00D60F71"/>
    <w:rsid w:val="00D63578"/>
    <w:rsid w:val="00D65340"/>
    <w:rsid w:val="00D71A0E"/>
    <w:rsid w:val="00D75169"/>
    <w:rsid w:val="00D82462"/>
    <w:rsid w:val="00D97AC5"/>
    <w:rsid w:val="00DF7583"/>
    <w:rsid w:val="00E00193"/>
    <w:rsid w:val="00E143EF"/>
    <w:rsid w:val="00E17346"/>
    <w:rsid w:val="00E21101"/>
    <w:rsid w:val="00E238D7"/>
    <w:rsid w:val="00E26918"/>
    <w:rsid w:val="00E31829"/>
    <w:rsid w:val="00E747F2"/>
    <w:rsid w:val="00E806E5"/>
    <w:rsid w:val="00E90CC4"/>
    <w:rsid w:val="00EE185F"/>
    <w:rsid w:val="00EE1C60"/>
    <w:rsid w:val="00F1610F"/>
    <w:rsid w:val="00F16378"/>
    <w:rsid w:val="00F22922"/>
    <w:rsid w:val="00F45890"/>
    <w:rsid w:val="00F773FB"/>
    <w:rsid w:val="00F82B45"/>
    <w:rsid w:val="00FB5566"/>
    <w:rsid w:val="00FC36AD"/>
    <w:rsid w:val="00FD3216"/>
    <w:rsid w:val="00FE335F"/>
    <w:rsid w:val="00FF10C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95714"/>
  <w15:chartTrackingRefBased/>
  <w15:docId w15:val="{DC674FF7-E541-4B68-B99D-D9A78330B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B4798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52A6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52A61"/>
  </w:style>
  <w:style w:type="paragraph" w:styleId="Piedepgina">
    <w:name w:val="footer"/>
    <w:basedOn w:val="Normal"/>
    <w:link w:val="PiedepginaCar"/>
    <w:uiPriority w:val="99"/>
    <w:unhideWhenUsed/>
    <w:rsid w:val="00B52A6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2A61"/>
  </w:style>
  <w:style w:type="character" w:customStyle="1" w:styleId="Ttulo2Car">
    <w:name w:val="Título 2 Car"/>
    <w:basedOn w:val="Fuentedeprrafopredeter"/>
    <w:link w:val="Ttulo2"/>
    <w:uiPriority w:val="9"/>
    <w:rsid w:val="00B4798D"/>
    <w:rPr>
      <w:rFonts w:asciiTheme="majorHAnsi" w:eastAsiaTheme="majorEastAsia" w:hAnsiTheme="majorHAnsi" w:cstheme="majorBidi"/>
      <w:color w:val="2F5496" w:themeColor="accent1" w:themeShade="BF"/>
      <w:sz w:val="26"/>
      <w:szCs w:val="26"/>
    </w:rPr>
  </w:style>
  <w:style w:type="paragraph" w:styleId="Prrafodelista">
    <w:name w:val="List Paragraph"/>
    <w:basedOn w:val="Normal"/>
    <w:uiPriority w:val="34"/>
    <w:qFormat/>
    <w:rsid w:val="00BC24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5040223">
      <w:bodyDiv w:val="1"/>
      <w:marLeft w:val="0"/>
      <w:marRight w:val="0"/>
      <w:marTop w:val="0"/>
      <w:marBottom w:val="0"/>
      <w:divBdr>
        <w:top w:val="none" w:sz="0" w:space="0" w:color="auto"/>
        <w:left w:val="none" w:sz="0" w:space="0" w:color="auto"/>
        <w:bottom w:val="none" w:sz="0" w:space="0" w:color="auto"/>
        <w:right w:val="none" w:sz="0" w:space="0" w:color="auto"/>
      </w:divBdr>
      <w:divsChild>
        <w:div w:id="1250624005">
          <w:marLeft w:val="0"/>
          <w:marRight w:val="0"/>
          <w:marTop w:val="0"/>
          <w:marBottom w:val="0"/>
          <w:divBdr>
            <w:top w:val="none" w:sz="0" w:space="0" w:color="auto"/>
            <w:left w:val="none" w:sz="0" w:space="0" w:color="auto"/>
            <w:bottom w:val="none" w:sz="0" w:space="0" w:color="auto"/>
            <w:right w:val="none" w:sz="0" w:space="0" w:color="auto"/>
          </w:divBdr>
        </w:div>
        <w:div w:id="278298524">
          <w:marLeft w:val="0"/>
          <w:marRight w:val="0"/>
          <w:marTop w:val="0"/>
          <w:marBottom w:val="0"/>
          <w:divBdr>
            <w:top w:val="none" w:sz="0" w:space="0" w:color="auto"/>
            <w:left w:val="none" w:sz="0" w:space="0" w:color="auto"/>
            <w:bottom w:val="none" w:sz="0" w:space="0" w:color="auto"/>
            <w:right w:val="none" w:sz="0" w:space="0" w:color="auto"/>
          </w:divBdr>
        </w:div>
        <w:div w:id="841045069">
          <w:marLeft w:val="0"/>
          <w:marRight w:val="0"/>
          <w:marTop w:val="0"/>
          <w:marBottom w:val="0"/>
          <w:divBdr>
            <w:top w:val="none" w:sz="0" w:space="0" w:color="auto"/>
            <w:left w:val="none" w:sz="0" w:space="0" w:color="auto"/>
            <w:bottom w:val="none" w:sz="0" w:space="0" w:color="auto"/>
            <w:right w:val="none" w:sz="0" w:space="0" w:color="auto"/>
          </w:divBdr>
        </w:div>
        <w:div w:id="882521585">
          <w:marLeft w:val="0"/>
          <w:marRight w:val="0"/>
          <w:marTop w:val="0"/>
          <w:marBottom w:val="0"/>
          <w:divBdr>
            <w:top w:val="none" w:sz="0" w:space="0" w:color="auto"/>
            <w:left w:val="none" w:sz="0" w:space="0" w:color="auto"/>
            <w:bottom w:val="none" w:sz="0" w:space="0" w:color="auto"/>
            <w:right w:val="none" w:sz="0" w:space="0" w:color="auto"/>
          </w:divBdr>
        </w:div>
        <w:div w:id="2082217009">
          <w:marLeft w:val="0"/>
          <w:marRight w:val="0"/>
          <w:marTop w:val="0"/>
          <w:marBottom w:val="0"/>
          <w:divBdr>
            <w:top w:val="none" w:sz="0" w:space="0" w:color="auto"/>
            <w:left w:val="none" w:sz="0" w:space="0" w:color="auto"/>
            <w:bottom w:val="none" w:sz="0" w:space="0" w:color="auto"/>
            <w:right w:val="none" w:sz="0" w:space="0" w:color="auto"/>
          </w:divBdr>
        </w:div>
      </w:divsChild>
    </w:div>
    <w:div w:id="897520647">
      <w:bodyDiv w:val="1"/>
      <w:marLeft w:val="0"/>
      <w:marRight w:val="0"/>
      <w:marTop w:val="0"/>
      <w:marBottom w:val="0"/>
      <w:divBdr>
        <w:top w:val="none" w:sz="0" w:space="0" w:color="auto"/>
        <w:left w:val="none" w:sz="0" w:space="0" w:color="auto"/>
        <w:bottom w:val="none" w:sz="0" w:space="0" w:color="auto"/>
        <w:right w:val="none" w:sz="0" w:space="0" w:color="auto"/>
      </w:divBdr>
    </w:div>
    <w:div w:id="1233545450">
      <w:bodyDiv w:val="1"/>
      <w:marLeft w:val="0"/>
      <w:marRight w:val="0"/>
      <w:marTop w:val="0"/>
      <w:marBottom w:val="0"/>
      <w:divBdr>
        <w:top w:val="none" w:sz="0" w:space="0" w:color="auto"/>
        <w:left w:val="none" w:sz="0" w:space="0" w:color="auto"/>
        <w:bottom w:val="none" w:sz="0" w:space="0" w:color="auto"/>
        <w:right w:val="none" w:sz="0" w:space="0" w:color="auto"/>
      </w:divBdr>
    </w:div>
    <w:div w:id="1354454039">
      <w:bodyDiv w:val="1"/>
      <w:marLeft w:val="0"/>
      <w:marRight w:val="0"/>
      <w:marTop w:val="0"/>
      <w:marBottom w:val="0"/>
      <w:divBdr>
        <w:top w:val="none" w:sz="0" w:space="0" w:color="auto"/>
        <w:left w:val="none" w:sz="0" w:space="0" w:color="auto"/>
        <w:bottom w:val="none" w:sz="0" w:space="0" w:color="auto"/>
        <w:right w:val="none" w:sz="0" w:space="0" w:color="auto"/>
      </w:divBdr>
    </w:div>
    <w:div w:id="2095124329">
      <w:bodyDiv w:val="1"/>
      <w:marLeft w:val="0"/>
      <w:marRight w:val="0"/>
      <w:marTop w:val="0"/>
      <w:marBottom w:val="0"/>
      <w:divBdr>
        <w:top w:val="none" w:sz="0" w:space="0" w:color="auto"/>
        <w:left w:val="none" w:sz="0" w:space="0" w:color="auto"/>
        <w:bottom w:val="none" w:sz="0" w:space="0" w:color="auto"/>
        <w:right w:val="none" w:sz="0" w:space="0" w:color="auto"/>
      </w:divBdr>
      <w:divsChild>
        <w:div w:id="1480422085">
          <w:marLeft w:val="0"/>
          <w:marRight w:val="0"/>
          <w:marTop w:val="0"/>
          <w:marBottom w:val="0"/>
          <w:divBdr>
            <w:top w:val="none" w:sz="0" w:space="0" w:color="auto"/>
            <w:left w:val="none" w:sz="0" w:space="0" w:color="auto"/>
            <w:bottom w:val="none" w:sz="0" w:space="0" w:color="auto"/>
            <w:right w:val="none" w:sz="0" w:space="0" w:color="auto"/>
          </w:divBdr>
        </w:div>
        <w:div w:id="257447664">
          <w:marLeft w:val="0"/>
          <w:marRight w:val="0"/>
          <w:marTop w:val="0"/>
          <w:marBottom w:val="0"/>
          <w:divBdr>
            <w:top w:val="none" w:sz="0" w:space="0" w:color="auto"/>
            <w:left w:val="none" w:sz="0" w:space="0" w:color="auto"/>
            <w:bottom w:val="none" w:sz="0" w:space="0" w:color="auto"/>
            <w:right w:val="none" w:sz="0" w:space="0" w:color="auto"/>
          </w:divBdr>
        </w:div>
        <w:div w:id="1451049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6CFCF-95D0-4816-B0DA-C67CD2C10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508</Words>
  <Characters>2796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Lujan del Cueto</cp:lastModifiedBy>
  <cp:revision>5</cp:revision>
  <cp:lastPrinted>2024-05-07T11:48:00Z</cp:lastPrinted>
  <dcterms:created xsi:type="dcterms:W3CDTF">2024-05-07T15:43:00Z</dcterms:created>
  <dcterms:modified xsi:type="dcterms:W3CDTF">2024-05-08T10:08:00Z</dcterms:modified>
</cp:coreProperties>
</file>