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Source Serif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jc w:val="center"/>
      <w:rPr>
        <w:rFonts w:ascii="Source Serif Pro" w:cs="Source Serif Pro" w:eastAsia="Source Serif Pro" w:hAnsi="Source Serif Pro"/>
        <w:color w:val="434343"/>
        <w:sz w:val="20"/>
        <w:szCs w:val="20"/>
      </w:rPr>
    </w:pPr>
    <w:r w:rsidDel="00000000" w:rsidR="00000000" w:rsidRPr="00000000">
      <w:rPr>
        <w:rFonts w:ascii="Source Serif Pro" w:cs="Source Serif Pro" w:eastAsia="Source Serif Pro" w:hAnsi="Source Serif Pro"/>
        <w:color w:val="434343"/>
        <w:sz w:val="20"/>
        <w:szCs w:val="20"/>
        <w:rtl w:val="0"/>
      </w:rPr>
      <w:t xml:space="preserve">Año de la Reconstrucción de la Nación Argentina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-730086</wp:posOffset>
          </wp:positionH>
          <wp:positionV relativeFrom="paragraph">
            <wp:posOffset>-342899</wp:posOffset>
          </wp:positionV>
          <wp:extent cx="7187926" cy="1204913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532" l="0" r="0" t="532"/>
                  <a:stretch>
                    <a:fillRect/>
                  </a:stretch>
                </pic:blipFill>
                <pic:spPr>
                  <a:xfrm>
                    <a:off x="0" y="0"/>
                    <a:ext cx="7187926" cy="12049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